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spacing w:after="60" w:before="0"/>
      </w:pPr>
      <w:r>
        <w:rPr>
          <w:color w:val="2A7AE2"/>
          <w:sz w:val="30"/>
        </w:rPr>
        <w:t>Week 4 Group Practice: Choosing Under Risk (Expected Value and EVPI)</w:t>
      </w:r>
    </w:p>
    <w:p>
      <w:r>
        <w:rPr>
          <w:b/>
        </w:rPr>
        <w:t xml:space="preserve">Group members: </w:t>
      </w:r>
      <w:r>
        <w:t>________________________________________________________________</w:t>
      </w:r>
    </w:p>
    <w:p>
      <w:r>
        <w:rPr>
          <w:i/>
          <w:sz w:val="18"/>
        </w:rPr>
        <w:t>Work this together as a group, then hand this sheet to your TA at the end of class (counts toward participation).</w:t>
      </w:r>
    </w:p>
    <w:p>
      <w:r>
        <w:t>An event planner is booking a venue for an outdoor festival three months out and must commit now, before knowing the weather. They can rent a Small tent, a Medium tent, or a Large open pavilion. The regional forecast puts the day at Rain with probability 0.3 and Clear with probability 0.7. Net profit (in $ thousands) for each venue and weather combination is shown below. A bigger open venue wins big on a clear day and loses money on a rainy one.</w:t>
      </w:r>
    </w:p>
    <w:p>
      <w:r>
        <w:t>Step 1. Fill in the expected value (EV) column: for each venue, weight each payoff by its state's probability and add. Circle the venue with the highest EV.</w:t>
      </w:r>
    </w:p>
    <w:tbl>
      <w:tblPr>
        <w:tblStyle w:val="TableGrid"/>
        <w:tblW w:type="auto" w:w="0"/>
        <w:tblLook w:firstColumn="1" w:firstRow="1" w:lastColumn="0" w:lastRow="0" w:noHBand="0" w:noVBand="1" w:val="04A0"/>
      </w:tblPr>
      <w:tblGrid>
        <w:gridCol w:w="2556"/>
        <w:gridCol w:w="2556"/>
        <w:gridCol w:w="2556"/>
        <w:gridCol w:w="2556"/>
      </w:tblGrid>
      <w:tr>
        <w:tc>
          <w:tcPr>
            <w:tcW w:type="dxa" w:w="2556"/>
          </w:tcPr>
          <w:p>
            <w:pPr>
              <w:spacing w:after="20"/>
            </w:pPr>
            <w:r>
              <w:rPr>
                <w:b/>
                <w:sz w:val="19"/>
              </w:rPr>
              <w:t>Venue</w:t>
            </w:r>
          </w:p>
        </w:tc>
        <w:tc>
          <w:tcPr>
            <w:tcW w:type="dxa" w:w="2556"/>
          </w:tcPr>
          <w:p>
            <w:pPr>
              <w:spacing w:after="20"/>
            </w:pPr>
            <w:r>
              <w:rPr>
                <w:b/>
                <w:sz w:val="19"/>
              </w:rPr>
              <w:t>Rain (p = 0.3)</w:t>
            </w:r>
          </w:p>
        </w:tc>
        <w:tc>
          <w:tcPr>
            <w:tcW w:type="dxa" w:w="2556"/>
          </w:tcPr>
          <w:p>
            <w:pPr>
              <w:spacing w:after="20"/>
            </w:pPr>
            <w:r>
              <w:rPr>
                <w:b/>
                <w:sz w:val="19"/>
              </w:rPr>
              <w:t>Clear (p = 0.7)</w:t>
            </w:r>
          </w:p>
        </w:tc>
        <w:tc>
          <w:tcPr>
            <w:tcW w:type="dxa" w:w="2556"/>
          </w:tcPr>
          <w:p>
            <w:pPr>
              <w:spacing w:after="20"/>
            </w:pPr>
            <w:r>
              <w:rPr>
                <w:b/>
                <w:sz w:val="19"/>
              </w:rPr>
              <w:t>EV ($000)</w:t>
            </w:r>
          </w:p>
        </w:tc>
      </w:tr>
      <w:tr>
        <w:trPr>
          <w:trHeight w:hRule="atLeast" w:val="547"/>
        </w:trPr>
        <w:tc>
          <w:tcPr>
            <w:tcW w:type="dxa" w:w="2556"/>
          </w:tcPr>
          <w:p>
            <w:pPr>
              <w:spacing w:after="20"/>
            </w:pPr>
            <w:r>
              <w:rPr>
                <w:sz w:val="19"/>
              </w:rPr>
              <w:t>Small tent</w:t>
            </w:r>
          </w:p>
        </w:tc>
        <w:tc>
          <w:tcPr>
            <w:tcW w:type="dxa" w:w="2556"/>
          </w:tcPr>
          <w:p>
            <w:pPr>
              <w:spacing w:after="20"/>
            </w:pPr>
            <w:r>
              <w:rPr>
                <w:sz w:val="19"/>
              </w:rPr>
              <w:t>8</w:t>
            </w:r>
          </w:p>
        </w:tc>
        <w:tc>
          <w:tcPr>
            <w:tcW w:type="dxa" w:w="2556"/>
          </w:tcPr>
          <w:p>
            <w:pPr>
              <w:spacing w:after="20"/>
            </w:pPr>
            <w:r>
              <w:rPr>
                <w:sz w:val="19"/>
              </w:rPr>
              <w:t>12</w:t>
            </w:r>
          </w:p>
        </w:tc>
        <w:tc>
          <w:tcPr>
            <w:tcW w:type="dxa" w:w="2556"/>
          </w:tcPr>
          <w:p>
            <w:pPr>
              <w:spacing w:after="20"/>
            </w:pPr>
            <w:r>
              <w:rPr>
                <w:sz w:val="19"/>
              </w:rPr>
            </w:r>
          </w:p>
        </w:tc>
      </w:tr>
      <w:tr>
        <w:trPr>
          <w:trHeight w:hRule="atLeast" w:val="547"/>
        </w:trPr>
        <w:tc>
          <w:tcPr>
            <w:tcW w:type="dxa" w:w="2556"/>
          </w:tcPr>
          <w:p>
            <w:pPr>
              <w:spacing w:after="20"/>
            </w:pPr>
            <w:r>
              <w:rPr>
                <w:sz w:val="19"/>
              </w:rPr>
              <w:t>Medium tent</w:t>
            </w:r>
          </w:p>
        </w:tc>
        <w:tc>
          <w:tcPr>
            <w:tcW w:type="dxa" w:w="2556"/>
          </w:tcPr>
          <w:p>
            <w:pPr>
              <w:spacing w:after="20"/>
            </w:pPr>
            <w:r>
              <w:rPr>
                <w:sz w:val="19"/>
              </w:rPr>
              <w:t>4</w:t>
            </w:r>
          </w:p>
        </w:tc>
        <w:tc>
          <w:tcPr>
            <w:tcW w:type="dxa" w:w="2556"/>
          </w:tcPr>
          <w:p>
            <w:pPr>
              <w:spacing w:after="20"/>
            </w:pPr>
            <w:r>
              <w:rPr>
                <w:sz w:val="19"/>
              </w:rPr>
              <w:t>20</w:t>
            </w:r>
          </w:p>
        </w:tc>
        <w:tc>
          <w:tcPr>
            <w:tcW w:type="dxa" w:w="2556"/>
          </w:tcPr>
          <w:p>
            <w:pPr>
              <w:spacing w:after="20"/>
            </w:pPr>
            <w:r>
              <w:rPr>
                <w:sz w:val="19"/>
              </w:rPr>
            </w:r>
          </w:p>
        </w:tc>
      </w:tr>
      <w:tr>
        <w:trPr>
          <w:trHeight w:hRule="atLeast" w:val="547"/>
        </w:trPr>
        <w:tc>
          <w:tcPr>
            <w:tcW w:type="dxa" w:w="2556"/>
          </w:tcPr>
          <w:p>
            <w:pPr>
              <w:spacing w:after="20"/>
            </w:pPr>
            <w:r>
              <w:rPr>
                <w:sz w:val="19"/>
              </w:rPr>
              <w:t>Large pavilion</w:t>
            </w:r>
          </w:p>
        </w:tc>
        <w:tc>
          <w:tcPr>
            <w:tcW w:type="dxa" w:w="2556"/>
          </w:tcPr>
          <w:p>
            <w:pPr>
              <w:spacing w:after="20"/>
            </w:pPr>
            <w:r>
              <w:rPr>
                <w:sz w:val="19"/>
              </w:rPr>
              <w:t>-6</w:t>
            </w:r>
          </w:p>
        </w:tc>
        <w:tc>
          <w:tcPr>
            <w:tcW w:type="dxa" w:w="2556"/>
          </w:tcPr>
          <w:p>
            <w:pPr>
              <w:spacing w:after="20"/>
            </w:pPr>
            <w:r>
              <w:rPr>
                <w:sz w:val="19"/>
              </w:rPr>
              <w:t>30</w:t>
            </w:r>
          </w:p>
        </w:tc>
        <w:tc>
          <w:tcPr>
            <w:tcW w:type="dxa" w:w="2556"/>
          </w:tcPr>
          <w:p>
            <w:pPr>
              <w:spacing w:after="20"/>
            </w:pPr>
            <w:r>
              <w:rPr>
                <w:sz w:val="19"/>
              </w:rPr>
            </w:r>
          </w:p>
        </w:tc>
      </w:tr>
    </w:tbl>
    <w:p>
      <w:r>
        <w:t>Step 2. Build the regret (opportunity-loss) table. Work down each weather column: subtract every payoff from the best payoff in that column. Then fill the EOL column by weighting each row's regrets the same way you weighted its payoffs. Confirm the smallest-EOL venue is the one you circled in step 1.</w:t>
      </w:r>
    </w:p>
    <w:tbl>
      <w:tblPr>
        <w:tblStyle w:val="TableGrid"/>
        <w:tblW w:type="auto" w:w="0"/>
        <w:tblLook w:firstColumn="1" w:firstRow="1" w:lastColumn="0" w:lastRow="0" w:noHBand="0" w:noVBand="1" w:val="04A0"/>
      </w:tblPr>
      <w:tblGrid>
        <w:gridCol w:w="2556"/>
        <w:gridCol w:w="2556"/>
        <w:gridCol w:w="2556"/>
        <w:gridCol w:w="2556"/>
      </w:tblGrid>
      <w:tr>
        <w:tc>
          <w:tcPr>
            <w:tcW w:type="dxa" w:w="2556"/>
          </w:tcPr>
          <w:p>
            <w:pPr>
              <w:spacing w:after="20"/>
            </w:pPr>
            <w:r>
              <w:rPr>
                <w:b/>
                <w:sz w:val="19"/>
              </w:rPr>
              <w:t>Venue</w:t>
            </w:r>
          </w:p>
        </w:tc>
        <w:tc>
          <w:tcPr>
            <w:tcW w:type="dxa" w:w="2556"/>
          </w:tcPr>
          <w:p>
            <w:pPr>
              <w:spacing w:after="20"/>
            </w:pPr>
            <w:r>
              <w:rPr>
                <w:b/>
                <w:sz w:val="19"/>
              </w:rPr>
              <w:t>Rain regret</w:t>
            </w:r>
          </w:p>
        </w:tc>
        <w:tc>
          <w:tcPr>
            <w:tcW w:type="dxa" w:w="2556"/>
          </w:tcPr>
          <w:p>
            <w:pPr>
              <w:spacing w:after="20"/>
            </w:pPr>
            <w:r>
              <w:rPr>
                <w:b/>
                <w:sz w:val="19"/>
              </w:rPr>
              <w:t>Clear regret</w:t>
            </w:r>
          </w:p>
        </w:tc>
        <w:tc>
          <w:tcPr>
            <w:tcW w:type="dxa" w:w="2556"/>
          </w:tcPr>
          <w:p>
            <w:pPr>
              <w:spacing w:after="20"/>
            </w:pPr>
            <w:r>
              <w:rPr>
                <w:b/>
                <w:sz w:val="19"/>
              </w:rPr>
              <w:t>EOL ($000)</w:t>
            </w:r>
          </w:p>
        </w:tc>
      </w:tr>
      <w:tr>
        <w:trPr>
          <w:trHeight w:hRule="atLeast" w:val="547"/>
        </w:trPr>
        <w:tc>
          <w:tcPr>
            <w:tcW w:type="dxa" w:w="2556"/>
          </w:tcPr>
          <w:p>
            <w:pPr>
              <w:spacing w:after="20"/>
            </w:pPr>
            <w:r>
              <w:rPr>
                <w:sz w:val="19"/>
              </w:rPr>
              <w:t>Small tent</w:t>
            </w:r>
          </w:p>
        </w:tc>
        <w:tc>
          <w:tcPr>
            <w:tcW w:type="dxa" w:w="2556"/>
          </w:tcPr>
          <w:p>
            <w:pPr>
              <w:spacing w:after="20"/>
            </w:pPr>
            <w:r>
              <w:rPr>
                <w:sz w:val="19"/>
              </w:rPr>
            </w:r>
          </w:p>
        </w:tc>
        <w:tc>
          <w:tcPr>
            <w:tcW w:type="dxa" w:w="2556"/>
          </w:tcPr>
          <w:p>
            <w:pPr>
              <w:spacing w:after="20"/>
            </w:pPr>
            <w:r>
              <w:rPr>
                <w:sz w:val="19"/>
              </w:rPr>
            </w:r>
          </w:p>
        </w:tc>
        <w:tc>
          <w:tcPr>
            <w:tcW w:type="dxa" w:w="2556"/>
          </w:tcPr>
          <w:p>
            <w:pPr>
              <w:spacing w:after="20"/>
            </w:pPr>
            <w:r>
              <w:rPr>
                <w:sz w:val="19"/>
              </w:rPr>
            </w:r>
          </w:p>
        </w:tc>
      </w:tr>
      <w:tr>
        <w:trPr>
          <w:trHeight w:hRule="atLeast" w:val="547"/>
        </w:trPr>
        <w:tc>
          <w:tcPr>
            <w:tcW w:type="dxa" w:w="2556"/>
          </w:tcPr>
          <w:p>
            <w:pPr>
              <w:spacing w:after="20"/>
            </w:pPr>
            <w:r>
              <w:rPr>
                <w:sz w:val="19"/>
              </w:rPr>
              <w:t>Medium tent</w:t>
            </w:r>
          </w:p>
        </w:tc>
        <w:tc>
          <w:tcPr>
            <w:tcW w:type="dxa" w:w="2556"/>
          </w:tcPr>
          <w:p>
            <w:pPr>
              <w:spacing w:after="20"/>
            </w:pPr>
            <w:r>
              <w:rPr>
                <w:sz w:val="19"/>
              </w:rPr>
            </w:r>
          </w:p>
        </w:tc>
        <w:tc>
          <w:tcPr>
            <w:tcW w:type="dxa" w:w="2556"/>
          </w:tcPr>
          <w:p>
            <w:pPr>
              <w:spacing w:after="20"/>
            </w:pPr>
            <w:r>
              <w:rPr>
                <w:sz w:val="19"/>
              </w:rPr>
            </w:r>
          </w:p>
        </w:tc>
        <w:tc>
          <w:tcPr>
            <w:tcW w:type="dxa" w:w="2556"/>
          </w:tcPr>
          <w:p>
            <w:pPr>
              <w:spacing w:after="20"/>
            </w:pPr>
            <w:r>
              <w:rPr>
                <w:sz w:val="19"/>
              </w:rPr>
            </w:r>
          </w:p>
        </w:tc>
      </w:tr>
      <w:tr>
        <w:trPr>
          <w:trHeight w:hRule="atLeast" w:val="547"/>
        </w:trPr>
        <w:tc>
          <w:tcPr>
            <w:tcW w:type="dxa" w:w="2556"/>
          </w:tcPr>
          <w:p>
            <w:pPr>
              <w:spacing w:after="20"/>
            </w:pPr>
            <w:r>
              <w:rPr>
                <w:sz w:val="19"/>
              </w:rPr>
              <w:t>Large pavilion</w:t>
            </w:r>
          </w:p>
        </w:tc>
        <w:tc>
          <w:tcPr>
            <w:tcW w:type="dxa" w:w="2556"/>
          </w:tcPr>
          <w:p>
            <w:pPr>
              <w:spacing w:after="20"/>
            </w:pPr>
            <w:r>
              <w:rPr>
                <w:sz w:val="19"/>
              </w:rPr>
            </w:r>
          </w:p>
        </w:tc>
        <w:tc>
          <w:tcPr>
            <w:tcW w:type="dxa" w:w="2556"/>
          </w:tcPr>
          <w:p>
            <w:pPr>
              <w:spacing w:after="20"/>
            </w:pPr>
            <w:r>
              <w:rPr>
                <w:sz w:val="19"/>
              </w:rPr>
            </w:r>
          </w:p>
        </w:tc>
        <w:tc>
          <w:tcPr>
            <w:tcW w:type="dxa" w:w="2556"/>
          </w:tcPr>
          <w:p>
            <w:pPr>
              <w:spacing w:after="20"/>
            </w:pPr>
            <w:r>
              <w:rPr>
                <w:sz w:val="19"/>
              </w:rPr>
            </w:r>
          </w:p>
        </w:tc>
      </w:tr>
    </w:tbl>
    <w:p>
      <w:r>
        <w:t>Step 3. Compute the EVPI. First find what you would expect to earn if you knew the weather before choosing, then compare it with the best EV from step 1. Write one sentence on what this figure tells the planner about paying for a better forecast.</w:t>
      </w:r>
    </w:p>
    <w:tbl>
      <w:tblPr>
        <w:tblStyle w:val="TableGrid"/>
        <w:tblW w:type="auto" w:w="0"/>
        <w:tblLook w:firstColumn="1" w:firstRow="1" w:lastColumn="0" w:lastRow="0" w:noHBand="0" w:noVBand="1" w:val="04A0"/>
      </w:tblPr>
      <w:tblGrid>
        <w:gridCol w:w="5112"/>
        <w:gridCol w:w="5112"/>
      </w:tblGrid>
      <w:tr>
        <w:tc>
          <w:tcPr>
            <w:tcW w:type="dxa" w:w="5112"/>
          </w:tcPr>
          <w:p>
            <w:pPr>
              <w:spacing w:after="20"/>
            </w:pPr>
            <w:r>
              <w:rPr>
                <w:b/>
                <w:sz w:val="19"/>
              </w:rPr>
              <w:t>Quantity</w:t>
            </w:r>
          </w:p>
        </w:tc>
        <w:tc>
          <w:tcPr>
            <w:tcW w:type="dxa" w:w="5112"/>
          </w:tcPr>
          <w:p>
            <w:pPr>
              <w:spacing w:after="20"/>
            </w:pPr>
            <w:r>
              <w:rPr>
                <w:b/>
                <w:sz w:val="19"/>
              </w:rPr>
              <w:t>Value ($000)</w:t>
            </w:r>
          </w:p>
        </w:tc>
      </w:tr>
      <w:tr>
        <w:trPr>
          <w:trHeight w:hRule="atLeast" w:val="547"/>
        </w:trPr>
        <w:tc>
          <w:tcPr>
            <w:tcW w:type="dxa" w:w="5112"/>
          </w:tcPr>
          <w:p>
            <w:pPr>
              <w:spacing w:after="20"/>
            </w:pPr>
            <w:r>
              <w:rPr>
                <w:sz w:val="19"/>
              </w:rPr>
              <w:t>Best EV without information</w:t>
            </w:r>
          </w:p>
        </w:tc>
        <w:tc>
          <w:tcPr>
            <w:tcW w:type="dxa" w:w="5112"/>
          </w:tcPr>
          <w:p>
            <w:pPr>
              <w:spacing w:after="20"/>
            </w:pPr>
            <w:r>
              <w:rPr>
                <w:sz w:val="19"/>
              </w:rPr>
            </w:r>
          </w:p>
        </w:tc>
      </w:tr>
      <w:tr>
        <w:trPr>
          <w:trHeight w:hRule="atLeast" w:val="547"/>
        </w:trPr>
        <w:tc>
          <w:tcPr>
            <w:tcW w:type="dxa" w:w="5112"/>
          </w:tcPr>
          <w:p>
            <w:pPr>
              <w:spacing w:after="20"/>
            </w:pPr>
            <w:r>
              <w:rPr>
                <w:sz w:val="19"/>
              </w:rPr>
              <w:t>EV with perfect information</w:t>
            </w:r>
          </w:p>
        </w:tc>
        <w:tc>
          <w:tcPr>
            <w:tcW w:type="dxa" w:w="5112"/>
          </w:tcPr>
          <w:p>
            <w:pPr>
              <w:spacing w:after="20"/>
            </w:pPr>
            <w:r>
              <w:rPr>
                <w:sz w:val="19"/>
              </w:rPr>
            </w:r>
          </w:p>
        </w:tc>
      </w:tr>
      <w:tr>
        <w:trPr>
          <w:trHeight w:hRule="atLeast" w:val="547"/>
        </w:trPr>
        <w:tc>
          <w:tcPr>
            <w:tcW w:type="dxa" w:w="5112"/>
          </w:tcPr>
          <w:p>
            <w:pPr>
              <w:spacing w:after="20"/>
            </w:pPr>
            <w:r>
              <w:rPr>
                <w:sz w:val="19"/>
              </w:rPr>
              <w:t>EVPI</w:t>
            </w:r>
          </w:p>
        </w:tc>
        <w:tc>
          <w:tcPr>
            <w:tcW w:type="dxa" w:w="5112"/>
          </w:tcPr>
          <w:p>
            <w:pPr>
              <w:spacing w:after="20"/>
            </w:pPr>
            <w:r>
              <w:rPr>
                <w:sz w:val="19"/>
              </w:rPr>
            </w:r>
          </w:p>
        </w:tc>
      </w:tr>
    </w:tbl>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before="0"/>
    </w:pPr>
    <w:rPr>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